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A8F" w:rsidRDefault="00F26369">
      <w:hyperlink r:id="rId4" w:history="1">
        <w:r w:rsidRPr="00F26369">
          <w:rPr>
            <w:rStyle w:val="Hyperlink"/>
          </w:rPr>
          <w:t>https://www.independent.co.uk/arts-entertainment/films/features/film-noir-best-movies-double-indemnity-shadow-of-a-doubt-the-killing-a8816426.html</w:t>
        </w:r>
      </w:hyperlink>
      <w:bookmarkStart w:id="0" w:name="_GoBack"/>
      <w:bookmarkEnd w:id="0"/>
    </w:p>
    <w:sectPr w:rsidR="00452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69"/>
    <w:rsid w:val="00A83F0B"/>
    <w:rsid w:val="00B54141"/>
    <w:rsid w:val="00F2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549650-96CD-4413-8C3B-545289AF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63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dependent.co.uk/arts-entertainment/films/features/film-noir-best-movies-double-indemnity-shadow-of-a-doubt-the-killing-a881642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at Urbana-Champaign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Doug</dc:creator>
  <cp:keywords/>
  <dc:description/>
  <cp:lastModifiedBy>Jarvis, Doug</cp:lastModifiedBy>
  <cp:revision>1</cp:revision>
  <dcterms:created xsi:type="dcterms:W3CDTF">2022-03-25T16:43:00Z</dcterms:created>
  <dcterms:modified xsi:type="dcterms:W3CDTF">2022-03-25T16:43:00Z</dcterms:modified>
</cp:coreProperties>
</file>